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181" w:rsidRDefault="00AD7181">
      <w:r w:rsidRPr="00AD7181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4238625</wp:posOffset>
            </wp:positionV>
            <wp:extent cx="4772025" cy="2228850"/>
            <wp:effectExtent l="19050" t="0" r="9525" b="0"/>
            <wp:wrapNone/>
            <wp:docPr id="10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-95250</wp:posOffset>
            </wp:positionV>
            <wp:extent cx="4676775" cy="2379980"/>
            <wp:effectExtent l="19050" t="0" r="9525" b="127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-95250</wp:posOffset>
            </wp:positionV>
            <wp:extent cx="4772025" cy="2095500"/>
            <wp:effectExtent l="19050" t="0" r="9525" b="0"/>
            <wp:wrapNone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4829175</wp:posOffset>
            </wp:positionH>
            <wp:positionV relativeFrom="paragraph">
              <wp:posOffset>2133600</wp:posOffset>
            </wp:positionV>
            <wp:extent cx="4772025" cy="1971675"/>
            <wp:effectExtent l="19050" t="0" r="9525" b="0"/>
            <wp:wrapNone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AD7181" w:rsidRPr="00AD7181" w:rsidRDefault="00AD7181" w:rsidP="00AD7181"/>
    <w:p w:rsidR="00AD7181" w:rsidRPr="00AD7181" w:rsidRDefault="00AD7181" w:rsidP="00AD7181"/>
    <w:p w:rsidR="00AD7181" w:rsidRPr="00AD7181" w:rsidRDefault="00AD7181" w:rsidP="00AD7181"/>
    <w:p w:rsidR="00AD7181" w:rsidRPr="00AD7181" w:rsidRDefault="00AD7181" w:rsidP="00AD7181"/>
    <w:p w:rsidR="00AD7181" w:rsidRPr="00AD7181" w:rsidRDefault="00AD7181" w:rsidP="00AD7181"/>
    <w:p w:rsidR="00AD7181" w:rsidRPr="00AD7181" w:rsidRDefault="00AD7181" w:rsidP="00AD7181"/>
    <w:p w:rsidR="00AD7181" w:rsidRPr="00AD7181" w:rsidRDefault="00AD7181" w:rsidP="00AD7181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100330</wp:posOffset>
            </wp:positionV>
            <wp:extent cx="4676775" cy="2114550"/>
            <wp:effectExtent l="19050" t="0" r="9525" b="0"/>
            <wp:wrapNone/>
            <wp:docPr id="1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AD7181" w:rsidRDefault="00AD7181" w:rsidP="00AD7181"/>
    <w:p w:rsidR="00331107" w:rsidRPr="00AD7181" w:rsidRDefault="00AD7181" w:rsidP="00AD7181">
      <w:pPr>
        <w:tabs>
          <w:tab w:val="left" w:pos="1605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1654175</wp:posOffset>
            </wp:positionV>
            <wp:extent cx="4676140" cy="1905000"/>
            <wp:effectExtent l="19050" t="0" r="10160" b="0"/>
            <wp:wrapNone/>
            <wp:docPr id="11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tab/>
      </w:r>
    </w:p>
    <w:sectPr w:rsidR="00331107" w:rsidRPr="00AD7181" w:rsidSect="00AD7181">
      <w:footerReference w:type="default" r:id="rId12"/>
      <w:pgSz w:w="16838" w:h="11906" w:orient="landscape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206" w:rsidRDefault="00D83206" w:rsidP="00AD7181">
      <w:pPr>
        <w:spacing w:after="0" w:line="240" w:lineRule="auto"/>
      </w:pPr>
      <w:r>
        <w:separator/>
      </w:r>
    </w:p>
  </w:endnote>
  <w:endnote w:type="continuationSeparator" w:id="0">
    <w:p w:rsidR="00D83206" w:rsidRDefault="00D83206" w:rsidP="00AD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181" w:rsidRDefault="00AD7181">
    <w:pPr>
      <w:pStyle w:val="a5"/>
    </w:pPr>
    <w:r>
      <w:t>Окружающий мир, 4 класс, ВПР-2021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206" w:rsidRDefault="00D83206" w:rsidP="00AD7181">
      <w:pPr>
        <w:spacing w:after="0" w:line="240" w:lineRule="auto"/>
      </w:pPr>
      <w:r>
        <w:separator/>
      </w:r>
    </w:p>
  </w:footnote>
  <w:footnote w:type="continuationSeparator" w:id="0">
    <w:p w:rsidR="00D83206" w:rsidRDefault="00D83206" w:rsidP="00AD7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181"/>
    <w:rsid w:val="00331107"/>
    <w:rsid w:val="00AD7181"/>
    <w:rsid w:val="00D8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7181"/>
  </w:style>
  <w:style w:type="paragraph" w:styleId="a5">
    <w:name w:val="footer"/>
    <w:basedOn w:val="a"/>
    <w:link w:val="a6"/>
    <w:uiPriority w:val="99"/>
    <w:semiHidden/>
    <w:unhideWhenUsed/>
    <w:rsid w:val="00AD7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71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6;&#1082;&#1088;.&#1084;&#1080;&#1088;\2021-06-01%2021-17-54\C&#1074;&#1086;&#1076;%20&#1042;&#1055;&#1056;%20&#1086;&#1082;&#1088;&#1091;&#1078;&#1072;&#1102;&#1097;&#1080;&#1081;%20&#1084;&#1080;&#1088;%204%20&#1082;&#1083;&#1072;&#1089;&#1089;%202021%20&#1085;&#1072;%2020.04.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6;&#1082;&#1088;.&#1084;&#1080;&#1088;\2021-06-01%2021-17-54\C&#1074;&#1086;&#1076;%20&#1042;&#1055;&#1056;%20&#1086;&#1082;&#1088;&#1091;&#1078;&#1072;&#1102;&#1097;&#1080;&#1081;%20&#1084;&#1080;&#1088;%204%20&#1082;&#1083;&#1072;&#1089;&#1089;%202021%20&#1085;&#1072;%2020.04.202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6;&#1082;&#1088;.&#1084;&#1080;&#1088;\2021-06-01%2021-17-54\C&#1074;&#1086;&#1076;%20&#1042;&#1055;&#1056;%20&#1086;&#1082;&#1088;&#1091;&#1078;&#1072;&#1102;&#1097;&#1080;&#1081;%20&#1084;&#1080;&#1088;%204%20&#1082;&#1083;&#1072;&#1089;&#1089;%202021%20&#1085;&#1072;%2020.04.202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6;&#1082;&#1088;.&#1084;&#1080;&#1088;\2021-06-01%2021-17-54\C&#1074;&#1086;&#1076;%20&#1042;&#1055;&#1056;%20&#1086;&#1082;&#1088;&#1091;&#1078;&#1072;&#1102;&#1097;&#1080;&#1081;%20&#1084;&#1080;&#1088;%204%20&#1082;&#1083;&#1072;&#1089;&#1089;%202021%20&#1085;&#1072;%2020.04.202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6;&#1082;&#1088;.&#1084;&#1080;&#1088;\2021-06-01%2021-17-54\C&#1074;&#1086;&#1076;%20&#1042;&#1055;&#1056;%20&#1086;&#1082;&#1088;&#1091;&#1078;&#1072;&#1102;&#1097;&#1080;&#1081;%20&#1084;&#1080;&#1088;%204%20&#1082;&#1083;&#1072;&#1089;&#1089;%202021%20&#1085;&#1072;%2020.04.202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54;&#1082;&#1089;&#1072;&#1085;&#1072;\Downloads\&#1086;&#1082;&#1088;.&#1084;&#1080;&#1088;\2021-06-01%2021-17-54\C&#1074;&#1086;&#1076;%20&#1042;&#1055;&#1056;%20&#1086;&#1082;&#1088;&#1091;&#1078;&#1072;&#1102;&#1097;&#1080;&#1081;%20&#1084;&#1080;&#1088;%204%20&#1082;&#1083;&#1072;&#1089;&#1089;%202021%20&#1085;&#1072;%2020.04.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Распределение</a:t>
            </a:r>
            <a:r>
              <a:rPr lang="ru-RU" sz="1600" baseline="0"/>
              <a:t> "классических" оценок в классах</a:t>
            </a:r>
          </a:p>
        </c:rich>
      </c:tx>
    </c:title>
    <c:plotArea>
      <c:layout/>
      <c:barChart>
        <c:barDir val="bar"/>
        <c:grouping val="percentStacked"/>
        <c:ser>
          <c:idx val="0"/>
          <c:order val="0"/>
          <c:tx>
            <c:strRef>
              <c:f>Свод!$A$18</c:f>
              <c:strCache>
                <c:ptCount val="1"/>
                <c:pt idx="0">
                  <c:v>"5"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Свод!$C$18:$F$18</c:f>
              <c:numCache>
                <c:formatCode>0</c:formatCode>
                <c:ptCount val="4"/>
                <c:pt idx="0">
                  <c:v>10</c:v>
                </c:pt>
                <c:pt idx="1">
                  <c:v>7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Свод!$A$19</c:f>
              <c:strCache>
                <c:ptCount val="1"/>
                <c:pt idx="0">
                  <c:v>"4"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Свод!$C$19:$F$19</c:f>
              <c:numCache>
                <c:formatCode>0</c:formatCode>
                <c:ptCount val="4"/>
                <c:pt idx="0">
                  <c:v>15</c:v>
                </c:pt>
                <c:pt idx="1">
                  <c:v>18</c:v>
                </c:pt>
                <c:pt idx="2">
                  <c:v>8</c:v>
                </c:pt>
                <c:pt idx="3">
                  <c:v>11</c:v>
                </c:pt>
              </c:numCache>
            </c:numRef>
          </c:val>
        </c:ser>
        <c:ser>
          <c:idx val="2"/>
          <c:order val="2"/>
          <c:tx>
            <c:strRef>
              <c:f>Свод!$A$20</c:f>
              <c:strCache>
                <c:ptCount val="1"/>
                <c:pt idx="0">
                  <c:v>"3"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Свод!$C$20:$F$20</c:f>
              <c:numCache>
                <c:formatCode>0</c:formatCode>
                <c:ptCount val="4"/>
                <c:pt idx="0">
                  <c:v>2</c:v>
                </c:pt>
                <c:pt idx="1">
                  <c:v>0</c:v>
                </c:pt>
                <c:pt idx="2">
                  <c:v>4</c:v>
                </c:pt>
                <c:pt idx="3">
                  <c:v>9</c:v>
                </c:pt>
              </c:numCache>
            </c:numRef>
          </c:val>
        </c:ser>
        <c:ser>
          <c:idx val="3"/>
          <c:order val="3"/>
          <c:tx>
            <c:strRef>
              <c:f>Свод!$A$21</c:f>
              <c:strCache>
                <c:ptCount val="1"/>
                <c:pt idx="0">
                  <c:v>"2"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Свод!$C$21:$F$21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4"/>
          <c:order val="4"/>
          <c:tx>
            <c:strRef>
              <c:f>Свод!$A$22</c:f>
              <c:strCache>
                <c:ptCount val="1"/>
                <c:pt idx="0">
                  <c:v>без "оценки"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Свод!$C$22:$F$22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Val val="1"/>
        </c:dLbls>
        <c:gapWidth val="14"/>
        <c:overlap val="100"/>
        <c:axId val="140668928"/>
        <c:axId val="140670464"/>
      </c:barChart>
      <c:catAx>
        <c:axId val="140668928"/>
        <c:scaling>
          <c:orientation val="minMax"/>
        </c:scaling>
        <c:axPos val="l"/>
        <c:numFmt formatCode="General" sourceLinked="1"/>
        <c:tickLblPos val="nextTo"/>
        <c:crossAx val="140670464"/>
        <c:crosses val="autoZero"/>
        <c:auto val="1"/>
        <c:lblAlgn val="ctr"/>
        <c:lblOffset val="100"/>
      </c:catAx>
      <c:valAx>
        <c:axId val="140670464"/>
        <c:scaling>
          <c:orientation val="minMax"/>
        </c:scaling>
        <c:axPos val="b"/>
        <c:majorGridlines/>
        <c:numFmt formatCode="0%" sourceLinked="1"/>
        <c:tickLblPos val="nextTo"/>
        <c:crossAx val="140668928"/>
        <c:crosses val="autoZero"/>
        <c:crossBetween val="between"/>
      </c:valAx>
    </c:plotArea>
    <c:legend>
      <c:legendPos val="r"/>
    </c:legend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Распределение</a:t>
            </a:r>
            <a:r>
              <a:rPr lang="ru-RU" sz="1600" baseline="0"/>
              <a:t> сдавших и не сдавших</a:t>
            </a:r>
            <a:endParaRPr lang="ru-RU" sz="1600"/>
          </a:p>
        </c:rich>
      </c:tx>
    </c:title>
    <c:plotArea>
      <c:layout/>
      <c:doughnutChart>
        <c:varyColors val="1"/>
        <c:ser>
          <c:idx val="1"/>
          <c:order val="0"/>
          <c:tx>
            <c:strRef>
              <c:f>Свод!$A$6</c:f>
              <c:strCache>
                <c:ptCount val="1"/>
                <c:pt idx="0">
                  <c:v>Количество экзаменуемых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(Свод!$H$2:$K$2,Свод!$H$3:$K$3)</c:f>
              <c:strCache>
                <c:ptCount val="8"/>
                <c:pt idx="0">
                  <c:v>4Б (сдали)</c:v>
                </c:pt>
                <c:pt idx="1">
                  <c:v>4А (сдали)</c:v>
                </c:pt>
                <c:pt idx="2">
                  <c:v>4В (сдали)</c:v>
                </c:pt>
                <c:pt idx="3">
                  <c:v>4Г (сдали)</c:v>
                </c:pt>
                <c:pt idx="4">
                  <c:v>4Б (не сдали)</c:v>
                </c:pt>
                <c:pt idx="5">
                  <c:v>4А (не сдали)</c:v>
                </c:pt>
                <c:pt idx="6">
                  <c:v>4В (не сдали)</c:v>
                </c:pt>
                <c:pt idx="7">
                  <c:v>4Г (не сдали)</c:v>
                </c:pt>
              </c:strCache>
            </c:strRef>
          </c:cat>
          <c:val>
            <c:numRef>
              <c:f>(Свод!$C$7:$F$7,Свод!$C$8:$F$8)</c:f>
              <c:numCache>
                <c:formatCode>0</c:formatCode>
                <c:ptCount val="8"/>
                <c:pt idx="0">
                  <c:v>27</c:v>
                </c:pt>
                <c:pt idx="1">
                  <c:v>25</c:v>
                </c:pt>
                <c:pt idx="2">
                  <c:v>12</c:v>
                </c:pt>
                <c:pt idx="3">
                  <c:v>22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ser>
          <c:idx val="0"/>
          <c:order val="1"/>
          <c:tx>
            <c:strRef>
              <c:f>Свод!$A$6</c:f>
              <c:strCache>
                <c:ptCount val="1"/>
                <c:pt idx="0">
                  <c:v>Количество экзаменуемых</c:v>
                </c:pt>
              </c:strCache>
            </c:strRef>
          </c:tx>
          <c:dLbls>
            <c:showPercent val="1"/>
            <c:showLeaderLines val="1"/>
          </c:dLbls>
          <c:cat>
            <c:strRef>
              <c:f>(Свод!$H$2:$K$2,Свод!$H$3:$K$3)</c:f>
              <c:strCache>
                <c:ptCount val="8"/>
                <c:pt idx="0">
                  <c:v>4Б (сдали)</c:v>
                </c:pt>
                <c:pt idx="1">
                  <c:v>4А (сдали)</c:v>
                </c:pt>
                <c:pt idx="2">
                  <c:v>4В (сдали)</c:v>
                </c:pt>
                <c:pt idx="3">
                  <c:v>4Г (сдали)</c:v>
                </c:pt>
                <c:pt idx="4">
                  <c:v>4Б (не сдали)</c:v>
                </c:pt>
                <c:pt idx="5">
                  <c:v>4А (не сдали)</c:v>
                </c:pt>
                <c:pt idx="6">
                  <c:v>4В (не сдали)</c:v>
                </c:pt>
                <c:pt idx="7">
                  <c:v>4Г (не сдали)</c:v>
                </c:pt>
              </c:strCache>
            </c:strRef>
          </c:cat>
          <c:val>
            <c:numRef>
              <c:f>Свод!$B$7:$B$8</c:f>
              <c:numCache>
                <c:formatCode>0</c:formatCode>
                <c:ptCount val="2"/>
                <c:pt idx="0">
                  <c:v>86</c:v>
                </c:pt>
                <c:pt idx="1">
                  <c:v>1</c:v>
                </c:pt>
              </c:numCache>
            </c:numRef>
          </c:val>
        </c:ser>
        <c:dLbls>
          <c:showPercent val="1"/>
        </c:dLbls>
        <c:firstSliceAng val="0"/>
        <c:holeSize val="10"/>
      </c:doughnutChart>
    </c:plotArea>
    <c:legend>
      <c:legendPos val="r"/>
      <c:txPr>
        <a:bodyPr/>
        <a:lstStyle/>
        <a:p>
          <a:pPr rtl="0">
            <a:defRPr/>
          </a:pPr>
          <a:endParaRPr lang="ru-RU"/>
        </a:p>
      </c:txPr>
    </c:legend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Доля сдавших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v>&lt; средего %</c:v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Свод!$H$20:$K$20</c:f>
              <c:numCache>
                <c:formatCode>0.00%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0.95652173913043481</c:v>
                </c:pt>
              </c:numCache>
            </c:numRef>
          </c:val>
        </c:ser>
        <c:ser>
          <c:idx val="2"/>
          <c:order val="1"/>
          <c:tx>
            <c:v>&gt;= среднего %</c:v>
          </c:tx>
          <c:val>
            <c:numRef>
              <c:f>Свод!$H$19:$K$19</c:f>
              <c:numCache>
                <c:formatCode>0.00%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10"/>
        <c:overlap val="100"/>
        <c:axId val="131663744"/>
        <c:axId val="131665280"/>
      </c:barChart>
      <c:lineChart>
        <c:grouping val="standard"/>
        <c:ser>
          <c:idx val="3"/>
          <c:order val="3"/>
          <c:tx>
            <c:v/>
          </c:tx>
          <c:spPr>
            <a:ln>
              <a:noFill/>
            </a:ln>
          </c:spPr>
          <c:marker>
            <c:symbol val="none"/>
          </c:marker>
          <c:dLbls>
            <c:dLblPos val="ctr"/>
            <c:showVal val="1"/>
          </c:dLbls>
          <c:val>
            <c:numRef>
              <c:f>Свод!$H$18:$K$18</c:f>
              <c:numCache>
                <c:formatCode>0.00%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0.95652173913043481</c:v>
                </c:pt>
              </c:numCache>
            </c:numRef>
          </c:val>
        </c:ser>
        <c:marker val="1"/>
        <c:axId val="131663744"/>
        <c:axId val="131665280"/>
      </c:lineChart>
      <c:scatterChart>
        <c:scatterStyle val="lineMarker"/>
        <c:ser>
          <c:idx val="1"/>
          <c:order val="2"/>
          <c:tx>
            <c:v>Средний %</c:v>
          </c:tx>
          <c:marker>
            <c:symbol val="none"/>
          </c:marker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dLblPos val="t"/>
            <c:showVal val="1"/>
          </c:dLbls>
          <c:xVal>
            <c:numRef>
              <c:f>Свод!$N$18:$O$18</c:f>
              <c:numCache>
                <c:formatCode>0</c:formatCode>
                <c:ptCount val="2"/>
                <c:pt idx="0" formatCode="General">
                  <c:v>0</c:v>
                </c:pt>
                <c:pt idx="1">
                  <c:v>5</c:v>
                </c:pt>
              </c:numCache>
            </c:numRef>
          </c:xVal>
          <c:yVal>
            <c:numRef>
              <c:f>Свод!$N$19:$O$19</c:f>
              <c:numCache>
                <c:formatCode>0.00%</c:formatCode>
                <c:ptCount val="2"/>
                <c:pt idx="0">
                  <c:v>0.98850574712643668</c:v>
                </c:pt>
                <c:pt idx="1">
                  <c:v>0.98850574712643668</c:v>
                </c:pt>
              </c:numCache>
            </c:numRef>
          </c:yVal>
        </c:ser>
        <c:axId val="131663744"/>
        <c:axId val="131665280"/>
      </c:scatterChart>
      <c:catAx>
        <c:axId val="131663744"/>
        <c:scaling>
          <c:orientation val="minMax"/>
        </c:scaling>
        <c:axPos val="b"/>
        <c:numFmt formatCode="General" sourceLinked="1"/>
        <c:majorTickMark val="none"/>
        <c:tickLblPos val="low"/>
        <c:crossAx val="131665280"/>
        <c:crossesAt val="0"/>
        <c:auto val="1"/>
        <c:lblAlgn val="ctr"/>
        <c:lblOffset val="100"/>
      </c:catAx>
      <c:valAx>
        <c:axId val="131665280"/>
        <c:scaling>
          <c:orientation val="minMax"/>
        </c:scaling>
        <c:axPos val="l"/>
        <c:majorGridlines/>
        <c:numFmt formatCode="General" sourceLinked="0"/>
        <c:minorTickMark val="in"/>
        <c:tickLblPos val="nextTo"/>
        <c:spPr>
          <a:ln w="12700">
            <a:solidFill>
              <a:schemeClr val="tx1"/>
            </a:solidFill>
          </a:ln>
        </c:spPr>
        <c:crossAx val="131663744"/>
        <c:crosses val="autoZero"/>
        <c:crossBetween val="between"/>
      </c:valAx>
    </c:plotArea>
    <c:legend>
      <c:legendPos val="b"/>
    </c:legend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Средний первичный</a:t>
            </a:r>
            <a:r>
              <a:rPr lang="ru-RU" sz="1600" baseline="0"/>
              <a:t> балл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v>&lt; среднего</c:v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Свод!$H$16:$K$16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18.333333333333325</c:v>
                </c:pt>
                <c:pt idx="3">
                  <c:v>18.565217391304341</c:v>
                </c:pt>
              </c:numCache>
            </c:numRef>
          </c:val>
        </c:ser>
        <c:ser>
          <c:idx val="2"/>
          <c:order val="1"/>
          <c:tx>
            <c:v>&gt;= среднего</c:v>
          </c:tx>
          <c:val>
            <c:numRef>
              <c:f>Свод!$H$17:$K$17</c:f>
              <c:numCache>
                <c:formatCode>General</c:formatCode>
                <c:ptCount val="4"/>
                <c:pt idx="0">
                  <c:v>24.25925925925926</c:v>
                </c:pt>
                <c:pt idx="1">
                  <c:v>24.479999999999997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gapWidth val="10"/>
        <c:overlap val="100"/>
        <c:axId val="131705856"/>
        <c:axId val="131719936"/>
      </c:barChart>
      <c:lineChart>
        <c:grouping val="standard"/>
        <c:ser>
          <c:idx val="3"/>
          <c:order val="3"/>
          <c:tx>
            <c:v/>
          </c:tx>
          <c:spPr>
            <a:ln>
              <a:noFill/>
            </a:ln>
          </c:spPr>
          <c:marker>
            <c:symbol val="none"/>
          </c:marker>
          <c:dLbls>
            <c:dLblPos val="ctr"/>
            <c:showVal val="1"/>
          </c:dLbls>
          <c:val>
            <c:numRef>
              <c:f>Свод!$C$12:$F$12</c:f>
              <c:numCache>
                <c:formatCode>0.00</c:formatCode>
                <c:ptCount val="4"/>
                <c:pt idx="0">
                  <c:v>24.25925925925926</c:v>
                </c:pt>
                <c:pt idx="1">
                  <c:v>24.479999999999997</c:v>
                </c:pt>
                <c:pt idx="2">
                  <c:v>18.333333333333325</c:v>
                </c:pt>
                <c:pt idx="3">
                  <c:v>18.565217391304341</c:v>
                </c:pt>
              </c:numCache>
            </c:numRef>
          </c:val>
        </c:ser>
        <c:marker val="1"/>
        <c:axId val="131705856"/>
        <c:axId val="131719936"/>
      </c:lineChart>
      <c:scatterChart>
        <c:scatterStyle val="lineMarker"/>
        <c:ser>
          <c:idx val="1"/>
          <c:order val="2"/>
          <c:tx>
            <c:v>Средний</c:v>
          </c:tx>
          <c:marker>
            <c:symbol val="none"/>
          </c:marker>
          <c:dLbls>
            <c:txPr>
              <a:bodyPr/>
              <a:lstStyle/>
              <a:p>
                <a:pPr>
                  <a:defRPr>
                    <a:solidFill>
                      <a:srgbClr val="FF0000"/>
                    </a:solidFill>
                  </a:defRPr>
                </a:pPr>
                <a:endParaRPr lang="ru-RU"/>
              </a:p>
            </c:txPr>
            <c:dLblPos val="t"/>
            <c:showVal val="1"/>
          </c:dLbls>
          <c:xVal>
            <c:numRef>
              <c:f>Свод!$N$18:$O$18</c:f>
              <c:numCache>
                <c:formatCode>0</c:formatCode>
                <c:ptCount val="2"/>
                <c:pt idx="0" formatCode="General">
                  <c:v>0</c:v>
                </c:pt>
                <c:pt idx="1">
                  <c:v>5</c:v>
                </c:pt>
              </c:numCache>
            </c:numRef>
          </c:xVal>
          <c:yVal>
            <c:numRef>
              <c:f>Свод!$N$17:$O$17</c:f>
              <c:numCache>
                <c:formatCode>0.00</c:formatCode>
                <c:ptCount val="2"/>
                <c:pt idx="0">
                  <c:v>21.4</c:v>
                </c:pt>
                <c:pt idx="1">
                  <c:v>21.4</c:v>
                </c:pt>
              </c:numCache>
            </c:numRef>
          </c:yVal>
        </c:ser>
        <c:axId val="131705856"/>
        <c:axId val="131719936"/>
      </c:scatterChart>
      <c:catAx>
        <c:axId val="131705856"/>
        <c:scaling>
          <c:orientation val="minMax"/>
        </c:scaling>
        <c:axPos val="b"/>
        <c:numFmt formatCode="General" sourceLinked="1"/>
        <c:majorTickMark val="none"/>
        <c:tickLblPos val="low"/>
        <c:crossAx val="131719936"/>
        <c:crossesAt val="0"/>
        <c:auto val="1"/>
        <c:lblAlgn val="ctr"/>
        <c:lblOffset val="100"/>
      </c:catAx>
      <c:valAx>
        <c:axId val="131719936"/>
        <c:scaling>
          <c:orientation val="minMax"/>
        </c:scaling>
        <c:axPos val="l"/>
        <c:majorGridlines/>
        <c:numFmt formatCode="General" sourceLinked="0"/>
        <c:minorTickMark val="in"/>
        <c:tickLblPos val="nextTo"/>
        <c:spPr>
          <a:ln w="12700">
            <a:solidFill>
              <a:schemeClr val="tx1"/>
            </a:solidFill>
          </a:ln>
        </c:spPr>
        <c:crossAx val="131705856"/>
        <c:crosses val="autoZero"/>
        <c:crossBetween val="between"/>
      </c:valAx>
    </c:plotArea>
    <c:legend>
      <c:legendPos val="b"/>
    </c:legend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plotArea>
      <c:layout/>
      <c:lineChart>
        <c:grouping val="standard"/>
        <c:ser>
          <c:idx val="0"/>
          <c:order val="0"/>
          <c:tx>
            <c:strRef>
              <c:f>Свод!$A$23</c:f>
              <c:strCache>
                <c:ptCount val="1"/>
                <c:pt idx="0">
                  <c:v>% качества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Свод!$C$23:$F$23</c:f>
              <c:numCache>
                <c:formatCode>0%</c:formatCode>
                <c:ptCount val="4"/>
                <c:pt idx="0">
                  <c:v>0.92592592592592582</c:v>
                </c:pt>
                <c:pt idx="1">
                  <c:v>1</c:v>
                </c:pt>
                <c:pt idx="2">
                  <c:v>0.66666666666666663</c:v>
                </c:pt>
                <c:pt idx="3">
                  <c:v>0.56521739130434767</c:v>
                </c:pt>
              </c:numCache>
            </c:numRef>
          </c:val>
        </c:ser>
        <c:ser>
          <c:idx val="1"/>
          <c:order val="1"/>
          <c:tx>
            <c:strRef>
              <c:f>Свод!$A$24</c:f>
              <c:strCache>
                <c:ptCount val="1"/>
                <c:pt idx="0">
                  <c:v>% успеваемости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Свод!$C$24:$F$24</c:f>
              <c:numCache>
                <c:formatCode>0%</c:formatCode>
                <c:ptCount val="4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0.95652173913043481</c:v>
                </c:pt>
              </c:numCache>
            </c:numRef>
          </c:val>
        </c:ser>
        <c:ser>
          <c:idx val="2"/>
          <c:order val="2"/>
          <c:tx>
            <c:strRef>
              <c:f>Свод!$A$25</c:f>
              <c:strCache>
                <c:ptCount val="1"/>
                <c:pt idx="0">
                  <c:v>Уровень обученности</c:v>
                </c:pt>
              </c:strCache>
            </c:strRef>
          </c:tx>
          <c:cat>
            <c:strRef>
              <c:f>Свод!$C$2:$F$2</c:f>
              <c:strCache>
                <c:ptCount val="4"/>
                <c:pt idx="0">
                  <c:v>4Б</c:v>
                </c:pt>
                <c:pt idx="1">
                  <c:v>4А</c:v>
                </c:pt>
                <c:pt idx="2">
                  <c:v>4В</c:v>
                </c:pt>
                <c:pt idx="3">
                  <c:v>4Г</c:v>
                </c:pt>
              </c:strCache>
            </c:strRef>
          </c:cat>
          <c:val>
            <c:numRef>
              <c:f>Свод!$C$25:$F$25</c:f>
              <c:numCache>
                <c:formatCode>0%</c:formatCode>
                <c:ptCount val="4"/>
                <c:pt idx="0">
                  <c:v>0.75259259259259281</c:v>
                </c:pt>
                <c:pt idx="1">
                  <c:v>0.74080000000000013</c:v>
                </c:pt>
                <c:pt idx="2">
                  <c:v>0.54666666666666663</c:v>
                </c:pt>
                <c:pt idx="3">
                  <c:v>0.54086956521739127</c:v>
                </c:pt>
              </c:numCache>
            </c:numRef>
          </c:val>
        </c:ser>
        <c:marker val="1"/>
        <c:axId val="135086848"/>
        <c:axId val="135088384"/>
      </c:lineChart>
      <c:catAx>
        <c:axId val="135086848"/>
        <c:scaling>
          <c:orientation val="minMax"/>
        </c:scaling>
        <c:axPos val="b"/>
        <c:numFmt formatCode="General" sourceLinked="1"/>
        <c:tickLblPos val="nextTo"/>
        <c:crossAx val="135088384"/>
        <c:crosses val="autoZero"/>
        <c:auto val="1"/>
        <c:lblAlgn val="ctr"/>
        <c:lblOffset val="100"/>
      </c:catAx>
      <c:valAx>
        <c:axId val="135088384"/>
        <c:scaling>
          <c:orientation val="minMax"/>
        </c:scaling>
        <c:axPos val="l"/>
        <c:majorGridlines/>
        <c:numFmt formatCode="0%" sourceLinked="1"/>
        <c:tickLblPos val="nextTo"/>
        <c:crossAx val="13508684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600"/>
            </a:pPr>
            <a:r>
              <a:rPr lang="ru-RU" sz="1600"/>
              <a:t>Распределение</a:t>
            </a:r>
            <a:r>
              <a:rPr lang="ru-RU" sz="1600" baseline="0"/>
              <a:t> классов по "классическим" оценкам</a:t>
            </a:r>
          </a:p>
        </c:rich>
      </c:tx>
    </c:title>
    <c:plotArea>
      <c:layout/>
      <c:barChart>
        <c:barDir val="bar"/>
        <c:grouping val="percentStacked"/>
        <c:ser>
          <c:idx val="0"/>
          <c:order val="0"/>
          <c:tx>
            <c:v>4Б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Свод!$C$18:$C$22</c:f>
              <c:numCache>
                <c:formatCode>0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v>4А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Свод!$D$18:$D$22</c:f>
              <c:numCache>
                <c:formatCode>0</c:formatCode>
                <c:ptCount val="5"/>
                <c:pt idx="0">
                  <c:v>7</c:v>
                </c:pt>
                <c:pt idx="1">
                  <c:v>18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v>4В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Свод!$E$18:$E$22</c:f>
              <c:numCache>
                <c:formatCode>0</c:formatCode>
                <c:ptCount val="5"/>
                <c:pt idx="0">
                  <c:v>0</c:v>
                </c:pt>
                <c:pt idx="1">
                  <c:v>8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v>4Г</c:v>
          </c:tx>
          <c:cat>
            <c:strRef>
              <c:f>Свод!$A$18:$A$22</c:f>
              <c:strCache>
                <c:ptCount val="5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  <c:pt idx="4">
                  <c:v>без "оценки"</c:v>
                </c:pt>
              </c:strCache>
            </c:strRef>
          </c:cat>
          <c:val>
            <c:numRef>
              <c:f>Свод!$F$18:$F$22</c:f>
              <c:numCache>
                <c:formatCode>0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9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Val val="1"/>
        </c:dLbls>
        <c:gapWidth val="6"/>
        <c:overlap val="100"/>
        <c:axId val="135124480"/>
        <c:axId val="135126016"/>
      </c:barChart>
      <c:catAx>
        <c:axId val="135124480"/>
        <c:scaling>
          <c:orientation val="minMax"/>
        </c:scaling>
        <c:axPos val="l"/>
        <c:tickLblPos val="nextTo"/>
        <c:crossAx val="135126016"/>
        <c:crosses val="autoZero"/>
        <c:auto val="1"/>
        <c:lblAlgn val="ctr"/>
        <c:lblOffset val="100"/>
      </c:catAx>
      <c:valAx>
        <c:axId val="135126016"/>
        <c:scaling>
          <c:orientation val="minMax"/>
        </c:scaling>
        <c:axPos val="b"/>
        <c:majorGridlines/>
        <c:numFmt formatCode="0%" sourceLinked="1"/>
        <c:tickLblPos val="nextTo"/>
        <c:crossAx val="135124480"/>
        <c:crosses val="autoZero"/>
        <c:crossBetween val="between"/>
      </c:valAx>
    </c:plotArea>
    <c:legend>
      <c:legendPos val="r"/>
    </c:legend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>diakov.net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2021-06-01T11:21:00Z</dcterms:created>
  <dcterms:modified xsi:type="dcterms:W3CDTF">2021-06-01T11:24:00Z</dcterms:modified>
</cp:coreProperties>
</file>